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857C5" w14:textId="706DF30B" w:rsidR="00000000" w:rsidRPr="00C913FB" w:rsidRDefault="002860F2" w:rsidP="00C913FB">
      <w:pPr>
        <w:pStyle w:val="Ttulo"/>
        <w:ind w:left="-142" w:right="-138"/>
        <w:rPr>
          <w:rFonts w:eastAsia="MS Mincho"/>
          <w:noProof w:val="0"/>
          <w:u w:val="single"/>
        </w:rPr>
      </w:pPr>
      <w:r w:rsidRPr="00D93032">
        <w:rPr>
          <w:rFonts w:eastAsia="MS Mincho"/>
          <w:noProof w:val="0"/>
          <w:u w:val="single"/>
        </w:rPr>
        <w:t xml:space="preserve">Caso </w:t>
      </w:r>
      <w:r w:rsidR="002E6D65">
        <w:rPr>
          <w:rFonts w:eastAsia="MS Mincho"/>
          <w:noProof w:val="0"/>
          <w:u w:val="single"/>
        </w:rPr>
        <w:t xml:space="preserve">Gómez </w:t>
      </w:r>
      <w:proofErr w:type="spellStart"/>
      <w:r w:rsidR="002E6D65">
        <w:rPr>
          <w:rFonts w:eastAsia="MS Mincho"/>
          <w:noProof w:val="0"/>
          <w:u w:val="single"/>
        </w:rPr>
        <w:t>Virula</w:t>
      </w:r>
      <w:proofErr w:type="spellEnd"/>
      <w:r w:rsidR="002E6D65">
        <w:rPr>
          <w:rFonts w:eastAsia="MS Mincho"/>
          <w:noProof w:val="0"/>
          <w:u w:val="single"/>
        </w:rPr>
        <w:t xml:space="preserve"> y otros</w:t>
      </w:r>
      <w:r w:rsidR="00FC2496">
        <w:rPr>
          <w:rFonts w:eastAsia="MS Mincho"/>
          <w:noProof w:val="0"/>
          <w:u w:val="single"/>
        </w:rPr>
        <w:t xml:space="preserve"> </w:t>
      </w:r>
      <w:r w:rsidR="00C913FB">
        <w:rPr>
          <w:rFonts w:eastAsia="MS Mincho"/>
          <w:i/>
          <w:noProof w:val="0"/>
          <w:u w:val="single"/>
        </w:rPr>
        <w:t>Vs.</w:t>
      </w:r>
      <w:r w:rsidR="00B67361" w:rsidRPr="00D93032">
        <w:rPr>
          <w:rFonts w:eastAsia="MS Mincho"/>
          <w:noProof w:val="0"/>
          <w:u w:val="single"/>
        </w:rPr>
        <w:t xml:space="preserve"> </w:t>
      </w:r>
      <w:r w:rsidRPr="00D93032">
        <w:rPr>
          <w:rFonts w:eastAsia="MS Mincho"/>
          <w:noProof w:val="0"/>
          <w:u w:val="single"/>
        </w:rPr>
        <w:t>Guatemala</w:t>
      </w:r>
      <w:r w:rsidR="008E421E">
        <w:rPr>
          <w:rFonts w:eastAsia="MS Mincho"/>
          <w:noProof w:val="0"/>
          <w:u w:val="single"/>
        </w:rPr>
        <w:t>: reparaciones</w:t>
      </w:r>
      <w:r w:rsidR="00D93032" w:rsidRPr="00D93032">
        <w:rPr>
          <w:rFonts w:eastAsia="MS Mincho"/>
          <w:noProof w:val="0"/>
          <w:u w:val="single"/>
        </w:rPr>
        <w:t xml:space="preserve"> pendientes de cumplimiento</w:t>
      </w:r>
    </w:p>
    <w:p w14:paraId="64BC142E" w14:textId="77777777" w:rsidR="00CF04C9" w:rsidRPr="00ED2F65" w:rsidRDefault="00CF04C9" w:rsidP="00CF04C9">
      <w:pPr>
        <w:pStyle w:val="Prrafodelista"/>
        <w:spacing w:after="40"/>
        <w:ind w:left="0"/>
      </w:pPr>
    </w:p>
    <w:p w14:paraId="1E5F0CF8" w14:textId="77777777" w:rsidR="00CB4130" w:rsidRPr="00CB4130" w:rsidRDefault="00CB4130" w:rsidP="00CB4130">
      <w:pPr>
        <w:pStyle w:val="Prrafodelista"/>
        <w:numPr>
          <w:ilvl w:val="0"/>
          <w:numId w:val="4"/>
        </w:numPr>
        <w:spacing w:after="40"/>
        <w:ind w:left="0" w:firstLine="0"/>
        <w:rPr>
          <w:lang w:val="es-CR"/>
        </w:rPr>
      </w:pPr>
      <w:r>
        <w:t xml:space="preserve">Continuar las investigaciones que sean necesarias para determinar, juzgar, y, en su caso, sancionar a todos los responsables de la muerte de Alexander Yovany Gómez Virula, en los términos del párrafo 100 de la presente Sentencia. </w:t>
      </w:r>
    </w:p>
    <w:p w14:paraId="3F813AEB" w14:textId="77777777" w:rsidR="00CB4130" w:rsidRPr="00CB4130" w:rsidRDefault="00CB4130" w:rsidP="00CB4130">
      <w:pPr>
        <w:pStyle w:val="Prrafodelista"/>
        <w:spacing w:after="40"/>
        <w:ind w:left="0"/>
        <w:rPr>
          <w:lang w:val="es-CR"/>
        </w:rPr>
      </w:pPr>
    </w:p>
    <w:p w14:paraId="0F610F1B" w14:textId="7B43053C" w:rsidR="00CB4130" w:rsidRPr="005F7005" w:rsidRDefault="00CB4130" w:rsidP="005F7005">
      <w:pPr>
        <w:pStyle w:val="Prrafodelista"/>
        <w:numPr>
          <w:ilvl w:val="0"/>
          <w:numId w:val="4"/>
        </w:numPr>
        <w:spacing w:after="40"/>
        <w:ind w:left="0" w:firstLine="0"/>
        <w:rPr>
          <w:lang w:val="es-CR"/>
        </w:rPr>
      </w:pPr>
      <w:r>
        <w:t xml:space="preserve">Investigar, aun en el supuesto que hubiese prescrito la acción penal, los hechos ocurridos al solo efecto de satisfacer el derecho a la verdad de las víctimas y de la sociedad, en los términos del párrafo 101 de la presente Sentencia.  </w:t>
      </w:r>
    </w:p>
    <w:p w14:paraId="198D318A" w14:textId="77777777" w:rsidR="00CB4130" w:rsidRDefault="00CB4130" w:rsidP="00CB4130">
      <w:pPr>
        <w:pStyle w:val="Prrafodelista"/>
      </w:pPr>
    </w:p>
    <w:p w14:paraId="58B22D7C" w14:textId="760E3246" w:rsidR="00E92065" w:rsidRPr="003625DB" w:rsidRDefault="00CB4130" w:rsidP="00CB4130">
      <w:pPr>
        <w:pStyle w:val="Prrafodelista"/>
        <w:numPr>
          <w:ilvl w:val="0"/>
          <w:numId w:val="4"/>
        </w:numPr>
        <w:spacing w:after="40"/>
        <w:ind w:left="0" w:firstLine="0"/>
        <w:rPr>
          <w:lang w:val="es-CR"/>
        </w:rPr>
      </w:pPr>
      <w:bookmarkStart w:id="0" w:name="_Hlk187227648"/>
      <w:r>
        <w:t xml:space="preserve">Pagar, dentro del plazo de un año a partir de la notificación de esta Sentencia, las cantidades fijadas en los párrafos 110, 112 y 115 de la misma por </w:t>
      </w:r>
      <w:bookmarkEnd w:id="0"/>
      <w:r w:rsidR="005F7005">
        <w:t>[…]</w:t>
      </w:r>
      <w:r>
        <w:t xml:space="preserve"> el reintegro de costas y gastos, </w:t>
      </w:r>
      <w:bookmarkStart w:id="1" w:name="_Hlk187227694"/>
      <w:r>
        <w:t>en los términos de los párrafos 116 a 120 de esta Sentencia</w:t>
      </w:r>
      <w:bookmarkEnd w:id="1"/>
      <w:r>
        <w:t>.</w:t>
      </w:r>
    </w:p>
    <w:sectPr w:rsidR="00E92065" w:rsidRPr="003625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14B68" w14:textId="77777777" w:rsidR="00CD4AAC" w:rsidRDefault="00CD4AAC" w:rsidP="00C913FB">
      <w:r>
        <w:separator/>
      </w:r>
    </w:p>
  </w:endnote>
  <w:endnote w:type="continuationSeparator" w:id="0">
    <w:p w14:paraId="2EA25800" w14:textId="77777777" w:rsidR="00CD4AAC" w:rsidRDefault="00CD4AAC" w:rsidP="00C9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40307" w14:textId="77777777" w:rsidR="00C913FB" w:rsidRPr="005A69BB" w:rsidRDefault="00C913FB" w:rsidP="00C913FB">
    <w:pPr>
      <w:pStyle w:val="Piedepgina"/>
      <w:rPr>
        <w:sz w:val="16"/>
        <w:szCs w:val="20"/>
      </w:rPr>
    </w:pPr>
    <w:r w:rsidRPr="005A69BB">
      <w:rPr>
        <w:sz w:val="16"/>
        <w:szCs w:val="20"/>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44BB2B30" w14:textId="77777777" w:rsidR="00C913FB" w:rsidRDefault="00C913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548C1" w14:textId="77777777" w:rsidR="00CD4AAC" w:rsidRDefault="00CD4AAC" w:rsidP="00C913FB">
      <w:r>
        <w:separator/>
      </w:r>
    </w:p>
  </w:footnote>
  <w:footnote w:type="continuationSeparator" w:id="0">
    <w:p w14:paraId="5B04995F" w14:textId="77777777" w:rsidR="00CD4AAC" w:rsidRDefault="00CD4AAC" w:rsidP="00C9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5652"/>
    <w:multiLevelType w:val="hybridMultilevel"/>
    <w:tmpl w:val="AD982202"/>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515E9E"/>
    <w:multiLevelType w:val="hybridMultilevel"/>
    <w:tmpl w:val="F0ACA26C"/>
    <w:lvl w:ilvl="0" w:tplc="8368CDDA">
      <w:start w:val="1"/>
      <w:numFmt w:val="decimal"/>
      <w:lvlText w:val="%1."/>
      <w:lvlJc w:val="left"/>
      <w:pPr>
        <w:ind w:left="720" w:hanging="360"/>
      </w:pPr>
      <w:rPr>
        <w:sz w:val="20"/>
        <w:szCs w:val="20"/>
        <w:lang w:val="es-E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A823C8"/>
    <w:multiLevelType w:val="hybridMultilevel"/>
    <w:tmpl w:val="D25821F6"/>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9DE05C3"/>
    <w:multiLevelType w:val="hybridMultilevel"/>
    <w:tmpl w:val="99E2041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179734885">
    <w:abstractNumId w:val="1"/>
  </w:num>
  <w:num w:numId="2" w16cid:durableId="1416709782">
    <w:abstractNumId w:val="3"/>
  </w:num>
  <w:num w:numId="3" w16cid:durableId="1390689841">
    <w:abstractNumId w:val="0"/>
  </w:num>
  <w:num w:numId="4" w16cid:durableId="52387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61"/>
    <w:rsid w:val="000E6C6C"/>
    <w:rsid w:val="001E0B59"/>
    <w:rsid w:val="002860F2"/>
    <w:rsid w:val="002E6D65"/>
    <w:rsid w:val="003625DB"/>
    <w:rsid w:val="003A7E5E"/>
    <w:rsid w:val="003C510D"/>
    <w:rsid w:val="00417330"/>
    <w:rsid w:val="00426F5F"/>
    <w:rsid w:val="00481AF5"/>
    <w:rsid w:val="004B3FE4"/>
    <w:rsid w:val="004F3152"/>
    <w:rsid w:val="005A091B"/>
    <w:rsid w:val="005B1BAD"/>
    <w:rsid w:val="005F7005"/>
    <w:rsid w:val="00805647"/>
    <w:rsid w:val="008E421E"/>
    <w:rsid w:val="00912F04"/>
    <w:rsid w:val="009832C0"/>
    <w:rsid w:val="009939E9"/>
    <w:rsid w:val="009B5D1C"/>
    <w:rsid w:val="00B20C91"/>
    <w:rsid w:val="00B27DBE"/>
    <w:rsid w:val="00B67361"/>
    <w:rsid w:val="00C913FB"/>
    <w:rsid w:val="00C9453F"/>
    <w:rsid w:val="00CB4130"/>
    <w:rsid w:val="00CD4AAC"/>
    <w:rsid w:val="00CF04C9"/>
    <w:rsid w:val="00CF0EC9"/>
    <w:rsid w:val="00D766CA"/>
    <w:rsid w:val="00D93032"/>
    <w:rsid w:val="00DE3909"/>
    <w:rsid w:val="00E10676"/>
    <w:rsid w:val="00E92065"/>
    <w:rsid w:val="00F07BF2"/>
    <w:rsid w:val="00FC2496"/>
    <w:rsid w:val="00FE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1CFF"/>
  <w15:docId w15:val="{F87E53C9-045B-4595-AFF2-EE2A67AC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61"/>
    <w:pPr>
      <w:spacing w:after="0" w:line="240" w:lineRule="auto"/>
      <w:jc w:val="both"/>
    </w:pPr>
    <w:rPr>
      <w:rFonts w:ascii="Verdana" w:eastAsia="Batang" w:hAnsi="Verdana" w:cs="Times"/>
      <w:noProof/>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67361"/>
    <w:pPr>
      <w:jc w:val="center"/>
    </w:pPr>
    <w:rPr>
      <w:rFonts w:eastAsia="Times New Roman" w:cs="Times New Roman"/>
      <w:b/>
      <w:szCs w:val="20"/>
    </w:rPr>
  </w:style>
  <w:style w:type="character" w:customStyle="1" w:styleId="TtuloCar">
    <w:name w:val="Título Car"/>
    <w:basedOn w:val="Fuentedeprrafopredeter"/>
    <w:link w:val="Ttulo"/>
    <w:rsid w:val="00B67361"/>
    <w:rPr>
      <w:rFonts w:ascii="Verdana" w:eastAsia="Times New Roman" w:hAnsi="Verdana" w:cs="Times New Roman"/>
      <w:b/>
      <w:noProof/>
      <w:sz w:val="20"/>
      <w:szCs w:val="20"/>
      <w:lang w:val="es-ES_tradnl"/>
    </w:rPr>
  </w:style>
  <w:style w:type="paragraph" w:styleId="Subttulo">
    <w:name w:val="Subtitle"/>
    <w:basedOn w:val="Normal"/>
    <w:next w:val="Normal"/>
    <w:link w:val="SubttuloCar"/>
    <w:uiPriority w:val="11"/>
    <w:qFormat/>
    <w:rsid w:val="00B67361"/>
    <w:pPr>
      <w:numPr>
        <w:ilvl w:val="1"/>
      </w:numPr>
      <w:jc w:val="center"/>
    </w:pPr>
    <w:rPr>
      <w:rFonts w:eastAsia="Times New Roman" w:cs="Times New Roman"/>
      <w:b/>
      <w:i/>
      <w:iCs/>
      <w:spacing w:val="15"/>
    </w:rPr>
  </w:style>
  <w:style w:type="character" w:customStyle="1" w:styleId="SubttuloCar">
    <w:name w:val="Subtítulo Car"/>
    <w:basedOn w:val="Fuentedeprrafopredeter"/>
    <w:link w:val="Subttulo"/>
    <w:uiPriority w:val="11"/>
    <w:rsid w:val="00B67361"/>
    <w:rPr>
      <w:rFonts w:ascii="Verdana" w:eastAsia="Times New Roman" w:hAnsi="Verdana" w:cs="Times New Roman"/>
      <w:b/>
      <w:i/>
      <w:iCs/>
      <w:noProof/>
      <w:spacing w:val="15"/>
      <w:sz w:val="20"/>
      <w:szCs w:val="24"/>
      <w:lang w:val="es-ES_tradnl"/>
    </w:rPr>
  </w:style>
  <w:style w:type="paragraph" w:customStyle="1" w:styleId="Default">
    <w:name w:val="Default"/>
    <w:rsid w:val="00B67361"/>
    <w:pPr>
      <w:autoSpaceDE w:val="0"/>
      <w:autoSpaceDN w:val="0"/>
      <w:adjustRightInd w:val="0"/>
      <w:spacing w:after="0" w:line="240" w:lineRule="auto"/>
    </w:pPr>
    <w:rPr>
      <w:rFonts w:ascii="Verdana" w:eastAsia="Calibri" w:hAnsi="Verdana" w:cs="Verdana"/>
      <w:color w:val="000000"/>
      <w:sz w:val="24"/>
      <w:szCs w:val="24"/>
    </w:rPr>
  </w:style>
  <w:style w:type="paragraph" w:styleId="Prrafodelista">
    <w:name w:val="List Paragraph"/>
    <w:aliases w:val="Footnote,List Paragraph1,Párrafo de lista1,Colorful List - Accent 11,List Paragraph2,Lista vistosa - Énfasis 11"/>
    <w:basedOn w:val="Normal"/>
    <w:link w:val="PrrafodelistaCar"/>
    <w:uiPriority w:val="34"/>
    <w:qFormat/>
    <w:rsid w:val="00912F04"/>
    <w:pPr>
      <w:ind w:left="720"/>
      <w:contextualSpacing/>
    </w:pPr>
  </w:style>
  <w:style w:type="character" w:customStyle="1" w:styleId="PrrafodelistaCar">
    <w:name w:val="Párrafo de lista Car"/>
    <w:aliases w:val="Footnote Car,List Paragraph1 Car,Párrafo de lista1 Car,Colorful List - Accent 11 Car,List Paragraph2 Car,Lista vistosa - Énfasis 11 Car"/>
    <w:link w:val="Prrafodelista"/>
    <w:uiPriority w:val="34"/>
    <w:rsid w:val="00CF04C9"/>
    <w:rPr>
      <w:rFonts w:ascii="Verdana" w:eastAsia="Batang" w:hAnsi="Verdana" w:cs="Times"/>
      <w:noProof/>
      <w:sz w:val="20"/>
      <w:szCs w:val="24"/>
      <w:lang w:val="es-ES_tradnl"/>
    </w:rPr>
  </w:style>
  <w:style w:type="paragraph" w:styleId="Encabezado">
    <w:name w:val="header"/>
    <w:basedOn w:val="Normal"/>
    <w:link w:val="EncabezadoCar"/>
    <w:uiPriority w:val="99"/>
    <w:unhideWhenUsed/>
    <w:rsid w:val="00C913FB"/>
    <w:pPr>
      <w:tabs>
        <w:tab w:val="center" w:pos="4419"/>
        <w:tab w:val="right" w:pos="8838"/>
      </w:tabs>
    </w:pPr>
  </w:style>
  <w:style w:type="character" w:customStyle="1" w:styleId="EncabezadoCar">
    <w:name w:val="Encabezado Car"/>
    <w:basedOn w:val="Fuentedeprrafopredeter"/>
    <w:link w:val="Encabezado"/>
    <w:uiPriority w:val="99"/>
    <w:rsid w:val="00C913FB"/>
    <w:rPr>
      <w:rFonts w:ascii="Verdana" w:eastAsia="Batang" w:hAnsi="Verdana" w:cs="Times"/>
      <w:noProof/>
      <w:sz w:val="20"/>
      <w:szCs w:val="24"/>
      <w:lang w:val="es-ES_tradnl"/>
    </w:rPr>
  </w:style>
  <w:style w:type="paragraph" w:styleId="Piedepgina">
    <w:name w:val="footer"/>
    <w:basedOn w:val="Normal"/>
    <w:link w:val="PiedepginaCar"/>
    <w:uiPriority w:val="99"/>
    <w:unhideWhenUsed/>
    <w:rsid w:val="00C913FB"/>
    <w:pPr>
      <w:tabs>
        <w:tab w:val="center" w:pos="4419"/>
        <w:tab w:val="right" w:pos="8838"/>
      </w:tabs>
    </w:pPr>
  </w:style>
  <w:style w:type="character" w:customStyle="1" w:styleId="PiedepginaCar">
    <w:name w:val="Pie de página Car"/>
    <w:basedOn w:val="Fuentedeprrafopredeter"/>
    <w:link w:val="Piedepgina"/>
    <w:uiPriority w:val="99"/>
    <w:rsid w:val="00C913FB"/>
    <w:rPr>
      <w:rFonts w:ascii="Verdana" w:eastAsia="Batang" w:hAnsi="Verdana" w:cs="Times"/>
      <w:noProof/>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678</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Genesis Ugalde</cp:lastModifiedBy>
  <cp:revision>4</cp:revision>
  <dcterms:created xsi:type="dcterms:W3CDTF">2021-12-21T23:42:00Z</dcterms:created>
  <dcterms:modified xsi:type="dcterms:W3CDTF">2025-01-08T17:23:00Z</dcterms:modified>
</cp:coreProperties>
</file>